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第一部分 </w:t>
      </w:r>
      <w:r>
        <w:rPr>
          <w:rFonts w:hint="eastAsia" w:ascii="黑体" w:hAnsi="黑体" w:eastAsia="黑体"/>
          <w:sz w:val="30"/>
          <w:szCs w:val="30"/>
          <w:lang w:eastAsia="zh-CN"/>
        </w:rPr>
        <w:t>芒洪乡人民政府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2018</w:t>
      </w:r>
      <w:r>
        <w:rPr>
          <w:rFonts w:hint="eastAsia" w:ascii="黑体" w:hAnsi="黑体" w:eastAsia="黑体"/>
          <w:sz w:val="30"/>
          <w:szCs w:val="30"/>
        </w:rPr>
        <w:t>年部门预算编制说明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第二部分 </w:t>
      </w:r>
      <w:r>
        <w:rPr>
          <w:rFonts w:hint="eastAsia" w:ascii="黑体" w:hAnsi="黑体" w:eastAsia="黑体"/>
          <w:sz w:val="30"/>
          <w:szCs w:val="30"/>
          <w:lang w:eastAsia="zh-CN"/>
        </w:rPr>
        <w:t>芒洪乡人民政府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2018</w:t>
      </w:r>
      <w:r>
        <w:rPr>
          <w:rFonts w:hint="eastAsia" w:ascii="黑体" w:hAnsi="黑体" w:eastAsia="黑体"/>
          <w:sz w:val="30"/>
          <w:szCs w:val="30"/>
        </w:rPr>
        <w:t>年部门预算表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一、部门财务收支总体情况表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二、部门收入总体情况表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三、部门支出总体情况表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四、部门财政拨款收支总体情况表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五、部门一般公共预算本级财力安排支出情况表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六、部门基本支出情况表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七、部门政府性基金预算支出情况表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八、财政拨款支出明细表（按经济科目分类）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九、部门一般公共预算“三公”经费支出情况表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十、省本级项目支出绩效目标表（本次下达）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十一、省本级项目支出绩效目标表（另文下达）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十二、省对下转移支付绩效目标表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十三、部门政府采购情况表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</w:p>
    <w:p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芒洪乡人民政府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2018</w:t>
      </w:r>
      <w:r>
        <w:rPr>
          <w:rFonts w:hint="eastAsia" w:ascii="方正小标宋简体" w:eastAsia="方正小标宋简体"/>
          <w:kern w:val="0"/>
          <w:sz w:val="36"/>
          <w:szCs w:val="36"/>
        </w:rPr>
        <w:t>年部门预算编制说明</w:t>
      </w: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hint="eastAsia"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1、贯彻执行党的路线、方针、政策和国家的法律、法规，落实上级党委、政府的各项决议和决定，落实科学发展观，坚持以人为本，制订本乡的工作目标、发展规划和实施办法，并组织实施。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2、以经济建设为中心，加强农村基层基础系列化建设，强化机关干部作风，增强服务意识，提高办事效率，促进农村经济发展。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3、执行本级党代会和人民代表大会的决议，执行上级党政机关的决定和命令，保证其在本行政区域内的贯彻执行。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4、加强党的建设，做好党的工作；加强勤政、廉政建设；加强干部队伍的管理，充分发挥基层党组织的核心领导作用。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5、制定本行政区域内的经济和社会发展规划，并组织实施。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6、强化社会治安综合治理，依法治乡，建设文明乡，打击犯罪，稳定社会秩序。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7、管理好本行政区域内的科学、教育、文化、卫生、体育事业和财政、民政、统战、侨务、物价、公安、司法、计划生育等各项行政工作。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8、加大辖区人力资源开发，收集和传播经济信息，组织和协调各行各业，为企业和合作经济组织服务，管理和推广科学技术成果。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9、指导村民委员会发挥群众组织的自我教育、自我管理、自我建设、自我服务的作用。</w:t>
      </w:r>
    </w:p>
    <w:p>
      <w:pPr>
        <w:widowControl/>
        <w:spacing w:line="600" w:lineRule="exact"/>
        <w:ind w:firstLine="600" w:firstLineChars="200"/>
        <w:rPr>
          <w:rFonts w:hint="eastAsia" w:ascii="楷体_GB2312" w:eastAsia="楷体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10、承办县委、县政府交办的其他事项。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widowControl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纳入2017年部门预算编报的单位共11个，分别是政府综合办、人大、党政办、财政所、纪委、文化广播电视服务中心、社会保障服务中心、农业综合服务中心、林业站、村镇规划建设服务中心、产业发展服务中心。其中行政单位4个，参照公务员法管理的事业单位1个，其他事业单位6个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年是全面贯彻落实党的十九大精神的起步之年，是我乡全面建成小康社会的决胜时期，全乡如期脱贫、同步建成小康社会已经到“箭在弦上、不得不发”的地步，我乡要认真学习领悟党的十九大精神，始终坚持以人民群众为中心的发展思想，全力抓好2018年各项工作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一是突出抓好产业转型升级，进一步强化产业支撑。注重发展绿色生态产业和高原特色农业产业，实现生态产业立乡、绿色经济强乡，加快现代种植业创新。支持发展无公害、绿色农业，发展林下经济、高效农业，积极推进水果、中药材、魔芋等特色产业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二是突出抓好基础设施建设，进一步化解制约瓶颈。实施完成安雅至四排山班康柏</w:t>
      </w:r>
      <w:bookmarkStart w:id="0" w:name="_GoBack"/>
      <w:bookmarkEnd w:id="0"/>
      <w:r>
        <w:rPr>
          <w:rFonts w:hint="eastAsia" w:eastAsia="仿宋_GB2312"/>
          <w:kern w:val="0"/>
          <w:sz w:val="30"/>
          <w:szCs w:val="30"/>
          <w:lang w:val="en-US" w:eastAsia="zh-CN"/>
        </w:rPr>
        <w:t>油路建设，完成户南、布西林、大寨三组、上南东、坝头寨、下南东、平掌入组硬板路建设工程。加快十八道大河水库大沟、坝头寨大沟改造修缮工程，加大农村危房改造建设力度，加大新联村异地搬迁工程进度，完成117户随迁户安居房及基础设施建设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三是突出抓好绿色环保创建，进一步美化人居环境。加快美丽乡村建设步伐，加快一水两污工程建设，加强乡村环境治理，加大农业污染防治力度，统筹农村饮水安全、改水改厕、垃圾处理，完成改圈改厕100户。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四是突出抓好乡村振兴战略，进一步强化农村基础。2018年，投入1500万元左右实施产业提升行动，投入1400万元左右实施村庄建设，投入300万元左右实施环境整治行动，投入50万元左右实施素质提升行动。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五是突出抓好社会事业发展，进一步改善民生福利。全面推进实施14年免费教育，加强乡村医疗卫生设施建设，完善覆盖城乡的社会保障体系，加大大病医疗救助，严格落实城乡居民最低生活保障政策。继续加快组活动室。活动广场工程建设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11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11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个。截止2017年11月统计，部门基本情况如下：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54</w:t>
      </w:r>
      <w:r>
        <w:rPr>
          <w:rFonts w:eastAsia="仿宋_GB2312"/>
          <w:kern w:val="0"/>
          <w:sz w:val="30"/>
          <w:szCs w:val="30"/>
        </w:rPr>
        <w:t xml:space="preserve">人，其中：行政编制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24</w:t>
      </w:r>
      <w:r>
        <w:rPr>
          <w:rFonts w:eastAsia="仿宋_GB2312"/>
          <w:kern w:val="0"/>
          <w:sz w:val="30"/>
          <w:szCs w:val="30"/>
        </w:rPr>
        <w:t>人，事业编制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30</w:t>
      </w:r>
      <w:r>
        <w:rPr>
          <w:rFonts w:eastAsia="仿宋_GB2312"/>
          <w:kern w:val="0"/>
          <w:sz w:val="30"/>
          <w:szCs w:val="30"/>
        </w:rPr>
        <w:t>人。在职实有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50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50</w:t>
      </w:r>
      <w:r>
        <w:rPr>
          <w:rFonts w:eastAsia="仿宋_GB2312"/>
          <w:kern w:val="0"/>
          <w:sz w:val="30"/>
          <w:szCs w:val="30"/>
        </w:rPr>
        <w:t>人，财政部分供养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人，非财政供养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 xml:space="preserve">人，其中： 离休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 xml:space="preserve">人，退休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年部门财务总收入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万元，其中：一般公共预算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万元，政府性基金</w:t>
      </w:r>
      <w:r>
        <w:rPr>
          <w:rFonts w:hint="eastAsia" w:eastAsia="仿宋_GB2312"/>
          <w:kern w:val="0"/>
          <w:sz w:val="30"/>
          <w:szCs w:val="30"/>
        </w:rPr>
        <w:t>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万元，事业收入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万元，其他收入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hint="eastAsia" w:eastAsia="仿宋_GB2312"/>
          <w:kern w:val="0"/>
          <w:sz w:val="30"/>
          <w:szCs w:val="30"/>
        </w:rPr>
        <w:t>，上年结转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eastAsia="仿宋_GB2312"/>
          <w:kern w:val="0"/>
          <w:sz w:val="30"/>
          <w:szCs w:val="30"/>
        </w:rPr>
        <w:t>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年部门财政拨款收入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万元，其中:本年收入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万元，上年结转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万元（本级财力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万元，专项收入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万元，执法办案补助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万元，收费成本补偿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万元，财政专户管理的收入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万元，国有资源（资产）有偿使用</w:t>
      </w:r>
      <w:r>
        <w:rPr>
          <w:rFonts w:hint="eastAsia" w:eastAsia="仿宋_GB2312"/>
          <w:kern w:val="0"/>
          <w:sz w:val="30"/>
          <w:szCs w:val="30"/>
        </w:rPr>
        <w:t>成本补偿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万元），政府性基金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年部门预算总支出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万元，其中，基本支出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功能科目分组，主要用于</w:t>
      </w:r>
      <w:r>
        <w:rPr>
          <w:rFonts w:hint="eastAsia" w:eastAsia="仿宋_GB2312"/>
          <w:kern w:val="0"/>
          <w:sz w:val="30"/>
          <w:szCs w:val="30"/>
        </w:rPr>
        <w:t>一般公共服务支出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421.56万元，文化体育与传媒支出30.64万元，社会保障和就业支出135.1万元，医疗卫生与计划生育支出43.46万元，农林水支出192.16万元，住房保障支出45.3万元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经济科目分组（其中：基本支出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万元）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eastAsia="仿宋_GB2312"/>
          <w:kern w:val="0"/>
          <w:sz w:val="30"/>
          <w:szCs w:val="30"/>
        </w:rPr>
        <w:t>主要用于</w:t>
      </w:r>
      <w:r>
        <w:rPr>
          <w:rFonts w:hint="eastAsia" w:eastAsia="仿宋_GB2312"/>
          <w:kern w:val="0"/>
          <w:sz w:val="30"/>
          <w:szCs w:val="30"/>
        </w:rPr>
        <w:t>工资福利支出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709.62万元，商品和服务支出71.51万元， 对个人和家庭的补助87.09万元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专</w:t>
      </w:r>
      <w:r>
        <w:rPr>
          <w:rFonts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  <w:lang w:eastAsia="zh-CN"/>
        </w:rPr>
        <w:t>无。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eastAsia="仿宋_GB2312"/>
          <w:kern w:val="0"/>
          <w:sz w:val="30"/>
          <w:szCs w:val="30"/>
        </w:rPr>
        <w:t>（一）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年部门财政拨款收入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eastAsia="仿宋_GB2312"/>
          <w:kern w:val="0"/>
          <w:sz w:val="30"/>
          <w:szCs w:val="30"/>
        </w:rPr>
        <w:t>其中：一般公共预算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hint="eastAsia" w:eastAsia="仿宋_GB2312"/>
          <w:kern w:val="0"/>
          <w:sz w:val="30"/>
          <w:szCs w:val="30"/>
          <w:lang w:eastAsia="zh-CN"/>
        </w:rPr>
        <w:t>较上年增加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181.37万元，增加26.41%，增加的原因是2017年底调资，2018年执行工资新标准增加财政拨款收入。</w:t>
      </w:r>
    </w:p>
    <w:p>
      <w:pPr>
        <w:widowControl/>
        <w:ind w:firstLine="602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年部门预算总支出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万元，其中，基本支出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868.22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  <w:lang w:eastAsia="zh-CN"/>
        </w:rPr>
        <w:t>较上年增加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181.37万元，增加26.41%，其中基本支出增加203.37万元，增加的原因是2018年执行2017年底调资新标准，工资福利支出增加。项目支出减少22万元，减少的原因是2018年项目预算批复未下达。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</w:t>
      </w:r>
      <w:r>
        <w:rPr>
          <w:rFonts w:ascii="黑体" w:hAnsi="黑体" w:eastAsia="黑体"/>
          <w:kern w:val="0"/>
          <w:sz w:val="30"/>
          <w:szCs w:val="30"/>
        </w:rPr>
        <w:t>、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“三公”经费情况说明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2018</w:t>
      </w:r>
      <w:r>
        <w:rPr>
          <w:rFonts w:ascii="仿宋_GB2312" w:eastAsia="仿宋_GB2312"/>
          <w:sz w:val="30"/>
          <w:szCs w:val="30"/>
        </w:rPr>
        <w:t>年度 “三公”经费财政拨款预算总数是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7.86</w:t>
      </w:r>
      <w:r>
        <w:rPr>
          <w:rFonts w:ascii="仿宋_GB2312" w:eastAsia="仿宋_GB2312"/>
          <w:sz w:val="30"/>
          <w:szCs w:val="30"/>
        </w:rPr>
        <w:t>万元，其中：公务用车购置及运行维护费支出</w:t>
      </w: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万元，公务接待费支出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3.86</w:t>
      </w:r>
      <w:r>
        <w:rPr>
          <w:rFonts w:ascii="仿宋_GB2312" w:eastAsia="仿宋_GB2312"/>
          <w:sz w:val="30"/>
          <w:szCs w:val="30"/>
        </w:rPr>
        <w:t>万元，预计没有因公出国（境）费用，出国（境）费用为0。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三公经费较上年减少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0.14万元，减少1.75%，其中：</w:t>
      </w:r>
      <w:r>
        <w:rPr>
          <w:rFonts w:hint="eastAsia" w:ascii="仿宋_GB2312" w:eastAsia="仿宋_GB2312"/>
          <w:sz w:val="30"/>
          <w:szCs w:val="30"/>
          <w:lang w:eastAsia="zh-CN"/>
        </w:rPr>
        <w:t>公务接待费较上年减少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0.14万元，减少3.5%，减少的原因是我乡认真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贯彻落实中央厉行节约有关规定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，简化公务接待，严格控制接待规模和</w:t>
      </w:r>
      <w:r>
        <w:rPr>
          <w:rFonts w:ascii="仿宋_GB2312" w:eastAsia="仿宋_GB2312"/>
          <w:sz w:val="30"/>
          <w:szCs w:val="30"/>
        </w:rPr>
        <w:t>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九</w:t>
      </w:r>
      <w:r>
        <w:rPr>
          <w:rFonts w:ascii="黑体" w:hAnsi="黑体" w:eastAsia="黑体"/>
          <w:kern w:val="0"/>
          <w:sz w:val="30"/>
          <w:szCs w:val="30"/>
        </w:rPr>
        <w:t>、其他公开信息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800"/>
        <w:jc w:val="both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机关运行经费：是指为保障行政单位（含参照公务员法管理事业单位）运行用于购买货物和服务的各项资金，包含办公及印刷费、邮电费、差旅费、会议费、福利费、日常维修、专用材料及一般设备购置费、办公用房水电费、办公用房取暖费、办公用房物业管理费、公务用车运行维护费以及其他费用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2018年</w:t>
      </w:r>
      <w:r>
        <w:rPr>
          <w:rFonts w:hint="eastAsia" w:eastAsia="仿宋_GB2312" w:cs="Times New Roman"/>
          <w:kern w:val="0"/>
          <w:sz w:val="30"/>
          <w:szCs w:val="30"/>
          <w:lang w:val="en-US" w:eastAsia="zh-CN" w:bidi="ar-SA"/>
        </w:rPr>
        <w:t>度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我乡机关运行经费预算总额</w:t>
      </w:r>
      <w:r>
        <w:rPr>
          <w:rFonts w:hint="eastAsia" w:eastAsia="仿宋_GB2312" w:cs="Times New Roman"/>
          <w:kern w:val="0"/>
          <w:sz w:val="30"/>
          <w:szCs w:val="30"/>
          <w:lang w:val="en-US" w:eastAsia="zh-CN" w:bidi="ar-SA"/>
        </w:rPr>
        <w:t>43.39万元，主要用于办公费用39.39万元，公务用车运行维护费4万元。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鉴于截至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年12月31日的国有资产占有使用情况需在完成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年决算编制后才能统计汇总相关数据，因此，将在公开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年度部门决算时一并公开部门截至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eastAsia="仿宋_GB2312"/>
          <w:kern w:val="0"/>
          <w:sz w:val="30"/>
          <w:szCs w:val="30"/>
        </w:rPr>
        <w:t>年12月31日的国有资产占有使用情况。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</w:t>
      </w:r>
    </w:p>
    <w:p>
      <w:pPr>
        <w:widowControl/>
        <w:ind w:firstLine="5100" w:firstLineChars="17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芒洪乡人民政府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 2018年2月9日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2ZiNTNhNjIyOGNjZGUwZmQ1ZWU4NDcxZjcwY2M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9207636"/>
    <w:rsid w:val="0AB31CBE"/>
    <w:rsid w:val="0B153516"/>
    <w:rsid w:val="17941C6D"/>
    <w:rsid w:val="21AC3EA6"/>
    <w:rsid w:val="26A84C1A"/>
    <w:rsid w:val="786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赵坏坏</cp:lastModifiedBy>
  <cp:lastPrinted>2018-01-31T03:32:00Z</cp:lastPrinted>
  <dcterms:modified xsi:type="dcterms:W3CDTF">2024-02-23T08:33:42Z</dcterms:modified>
  <dc:title>年部门预算编制说明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A656171FFE284C65A7453372BDF8859C_12</vt:lpwstr>
  </property>
</Properties>
</file>