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耿马自治县2024年度第五批次城镇建设用地征地补偿安置方案</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耿马傣族佤族自治县人民政府依据</w:t>
      </w:r>
      <w:r>
        <w:rPr>
          <w:rFonts w:hint="eastAsia" w:ascii="Times New Roman" w:hAnsi="Times New Roman" w:eastAsia="仿宋_GB2312" w:cs="Times New Roman"/>
          <w:color w:val="auto"/>
          <w:sz w:val="32"/>
          <w:szCs w:val="32"/>
        </w:rPr>
        <w:t>耿马自治县2024年度第五批次城镇建设用地</w:t>
      </w:r>
      <w:r>
        <w:rPr>
          <w:rFonts w:hint="default" w:ascii="Times New Roman" w:hAnsi="Times New Roman" w:eastAsia="仿宋_GB2312" w:cs="Times New Roman"/>
          <w:color w:val="auto"/>
          <w:sz w:val="32"/>
          <w:szCs w:val="32"/>
        </w:rPr>
        <w:t>拟征收土地社会稳定风险评估结果，结合土地现状调查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，组织自然资源局、财政局、</w:t>
      </w:r>
      <w:r>
        <w:rPr>
          <w:rFonts w:hint="eastAsia"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rPr>
        <w:t>人力资源和社会保障局等相关部门制定了本方案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具体内容如下：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耿马自治县2024年度第五批次城镇建设用地</w:t>
      </w:r>
      <w:r>
        <w:rPr>
          <w:rFonts w:hint="default" w:ascii="Times New Roman" w:hAnsi="Times New Roman" w:eastAsia="仿宋_GB2312" w:cs="Times New Roman"/>
          <w:color w:val="auto"/>
          <w:sz w:val="32"/>
          <w:szCs w:val="32"/>
        </w:rPr>
        <w:t>拟征收土地位于</w:t>
      </w:r>
      <w:r>
        <w:rPr>
          <w:rFonts w:hint="eastAsia" w:ascii="Times New Roman" w:hAnsi="Times New Roman" w:eastAsia="仿宋_GB2312" w:cs="Times New Roman"/>
          <w:color w:val="auto"/>
          <w:sz w:val="32"/>
          <w:szCs w:val="32"/>
        </w:rPr>
        <w:t>班幸社区居民委员会班幸村民小组，共涉及1个乡镇，1个居民委员会，1个村民小组。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二、土地现状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耿马自治县2024年度第五批次城镇建设用地</w:t>
      </w:r>
      <w:r>
        <w:rPr>
          <w:rFonts w:hint="default" w:ascii="Times New Roman" w:hAnsi="Times New Roman" w:eastAsia="仿宋_GB2312" w:cs="Times New Roman"/>
          <w:color w:val="auto"/>
          <w:sz w:val="32"/>
          <w:szCs w:val="32"/>
        </w:rPr>
        <w:t>涉及拟征收土地的权属为耿马自治县孟定镇</w:t>
      </w:r>
      <w:r>
        <w:rPr>
          <w:rFonts w:hint="eastAsia" w:ascii="Times New Roman" w:hAnsi="Times New Roman" w:eastAsia="仿宋_GB2312" w:cs="Times New Roman"/>
          <w:color w:val="auto"/>
          <w:sz w:val="32"/>
          <w:szCs w:val="32"/>
        </w:rPr>
        <w:t>班幸社区居民委员会班幸村民小组</w:t>
      </w:r>
      <w:r>
        <w:rPr>
          <w:rFonts w:hint="default" w:ascii="Times New Roman" w:hAnsi="Times New Roman" w:eastAsia="仿宋_GB2312" w:cs="Times New Roman"/>
          <w:color w:val="auto"/>
          <w:sz w:val="32"/>
          <w:szCs w:val="32"/>
        </w:rPr>
        <w:t>集体所有，申请用地总面积1.2865公顷，其中农用地0.0676公顷（耕地0.0676公顷），建设用地1.2189公顷，不涉及未利用地。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该批次用地</w:t>
      </w:r>
      <w:r>
        <w:rPr>
          <w:rFonts w:hint="eastAsia" w:ascii="Times New Roman" w:hAnsi="Times New Roman" w:eastAsia="仿宋_GB2312" w:cs="Times New Roman"/>
          <w:color w:val="auto"/>
          <w:sz w:val="32"/>
          <w:szCs w:val="32"/>
        </w:rPr>
        <w:t>不</w:t>
      </w:r>
      <w:r>
        <w:rPr>
          <w:rFonts w:hint="default" w:ascii="Times New Roman" w:hAnsi="Times New Roman" w:eastAsia="仿宋_GB2312" w:cs="Times New Roman"/>
          <w:color w:val="auto"/>
          <w:sz w:val="32"/>
          <w:szCs w:val="32"/>
        </w:rPr>
        <w:t>涉及征收农村村民住宅</w:t>
      </w:r>
      <w:r>
        <w:rPr>
          <w:rFonts w:hint="eastAsia" w:ascii="Times New Roman" w:hAnsi="Times New Roman" w:eastAsia="仿宋_GB2312" w:cs="Times New Roman"/>
          <w:color w:val="auto"/>
          <w:sz w:val="32"/>
          <w:szCs w:val="32"/>
        </w:rPr>
        <w:t>及青苗</w:t>
      </w:r>
      <w:r>
        <w:rPr>
          <w:rFonts w:hint="default" w:ascii="Times New Roman" w:hAnsi="Times New Roman" w:eastAsia="仿宋_GB2312" w:cs="Times New Roman"/>
          <w:color w:val="auto"/>
          <w:sz w:val="32"/>
          <w:szCs w:val="32"/>
        </w:rPr>
        <w:t>，涉及征收其他</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"https://baike.baidu.com/item/%E5%9C%B0%E4%B8%8A%E9%99%84%E7%9D%80%E7%89%A9" \t "https://baike.baidu.com/item/%E5%BE%81%E7%94%A8%E5%9C%9F%E5%9C%B0%E5%85%AC%E5%91%8A%E5%8A%9E%E6%B3%95/_blank"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地上附着物</w:t>
      </w:r>
      <w:r>
        <w:rPr>
          <w:rFonts w:hint="default"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分别</w:t>
      </w: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rPr>
        <w:t>彩钢瓦大棚（彩钢瓦结构）7913.93平方米，变压房（砖混结构）36.84平方米，厕所35.32平方米，活动板房（石棉瓦结构）12.38平方米，</w:t>
      </w:r>
      <w:r>
        <w:rPr>
          <w:rFonts w:hint="default" w:ascii="Times New Roman" w:hAnsi="Times New Roman" w:eastAsia="仿宋_GB2312" w:cs="Times New Roman"/>
          <w:color w:val="auto"/>
          <w:sz w:val="32"/>
          <w:szCs w:val="32"/>
        </w:rPr>
        <w:t>权利人为</w:t>
      </w:r>
      <w:r>
        <w:rPr>
          <w:rFonts w:hint="eastAsia" w:ascii="Times New Roman" w:hAnsi="Times New Roman" w:eastAsia="仿宋_GB2312" w:cs="Times New Roman"/>
          <w:color w:val="auto"/>
          <w:sz w:val="32"/>
          <w:szCs w:val="32"/>
        </w:rPr>
        <w:t>临沧边境经济合作区国有资本投资运营有限公司</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三、征收目的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本次拟征收土地用于</w:t>
      </w:r>
      <w:r>
        <w:rPr>
          <w:rFonts w:hint="eastAsia" w:ascii="Times New Roman" w:hAnsi="Times New Roman" w:eastAsia="仿宋_GB2312" w:cs="Times New Roman"/>
          <w:color w:val="auto"/>
          <w:sz w:val="32"/>
          <w:szCs w:val="32"/>
        </w:rPr>
        <w:t>耿马自治县2024年度第五批次城镇建设用地</w:t>
      </w:r>
      <w:r>
        <w:rPr>
          <w:rFonts w:hint="default" w:ascii="Times New Roman" w:hAnsi="Times New Roman" w:eastAsia="仿宋_GB2312" w:cs="Times New Roman"/>
          <w:color w:val="auto"/>
          <w:sz w:val="32"/>
          <w:szCs w:val="32"/>
        </w:rPr>
        <w:t>，符合《中华人民共和国土地管理法》</w:t>
      </w:r>
      <w:r>
        <w:rPr>
          <w:rFonts w:hint="eastAsia" w:ascii="Times New Roman" w:hAnsi="Times New Roman" w:eastAsia="仿宋_GB2312" w:cs="Times New Roman"/>
          <w:color w:val="auto"/>
          <w:sz w:val="32"/>
          <w:szCs w:val="32"/>
        </w:rPr>
        <w:t>第四十五条第（五）款“在土地利用总体规划确定的城镇建设用地范围内，经省级以上人民政府批准由县级以上地方人民政府组织实施的成片开发建设需要用地的”可以依法实施征收土地的情形</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该批次拟征收土地位于经云南省人民政府批准的成片开发方案《云南省自然资源厅关于耿马县2021年土地征收成片开发方案（第二次）的批复》（云自然资征成〔2022〕95号）范围内。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四、补偿</w:t>
      </w:r>
      <w:r>
        <w:rPr>
          <w:rFonts w:hint="eastAsia" w:ascii="黑体" w:hAnsi="黑体" w:eastAsia="黑体" w:cs="黑体"/>
          <w:bCs/>
          <w:color w:val="auto"/>
          <w:sz w:val="32"/>
          <w:szCs w:val="32"/>
          <w:lang w:val="en-US" w:eastAsia="zh-CN"/>
        </w:rPr>
        <w:t>方式和</w:t>
      </w:r>
      <w:r>
        <w:rPr>
          <w:rFonts w:hint="eastAsia" w:ascii="黑体" w:hAnsi="黑体" w:eastAsia="黑体" w:cs="黑体"/>
          <w:bCs/>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耿马自治县2024年度第五批次城镇建设用地拟征收土地征地</w:t>
      </w:r>
      <w:r>
        <w:rPr>
          <w:rFonts w:hint="default" w:ascii="Times New Roman" w:hAnsi="Times New Roman" w:eastAsia="仿宋_GB2312" w:cs="Times New Roman"/>
          <w:color w:val="auto"/>
          <w:sz w:val="32"/>
          <w:szCs w:val="32"/>
        </w:rPr>
        <w:t>补偿标准按2023年11月18日《云南省自然资源厅关于公布实施</w:t>
      </w:r>
      <w:r>
        <w:rPr>
          <w:rFonts w:hint="eastAsia"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023</w:t>
      </w:r>
      <w:r>
        <w:rPr>
          <w:rFonts w:hint="eastAsia" w:ascii="Times New Roman" w:hAnsi="Times New Roman" w:eastAsia="仿宋_GB2312" w:cs="Times New Roman"/>
          <w:color w:val="auto"/>
          <w:sz w:val="32"/>
          <w:szCs w:val="32"/>
        </w:rPr>
        <w:t>年云南省</w:t>
      </w:r>
      <w:r>
        <w:rPr>
          <w:rFonts w:hint="default" w:ascii="Times New Roman" w:hAnsi="Times New Roman" w:eastAsia="仿宋_GB2312" w:cs="Times New Roman"/>
          <w:color w:val="auto"/>
          <w:sz w:val="32"/>
          <w:szCs w:val="32"/>
        </w:rPr>
        <w:t>征收农用地区片综合地价的通知》（云自然资〔2023〕169号）</w:t>
      </w:r>
      <w:r>
        <w:rPr>
          <w:rFonts w:hint="eastAsia" w:ascii="Times New Roman" w:hAnsi="Times New Roman" w:eastAsia="仿宋_GB2312" w:cs="Times New Roman"/>
          <w:color w:val="auto"/>
          <w:sz w:val="32"/>
          <w:szCs w:val="32"/>
        </w:rPr>
        <w:t>的规定</w:t>
      </w:r>
      <w:r>
        <w:rPr>
          <w:rFonts w:hint="default" w:ascii="Times New Roman" w:hAnsi="Times New Roman" w:eastAsia="仿宋_GB2312" w:cs="Times New Roman"/>
          <w:color w:val="auto"/>
          <w:sz w:val="32"/>
          <w:szCs w:val="32"/>
        </w:rPr>
        <w:t>执行。该批次拟征收土地共涉及耿马</w:t>
      </w:r>
      <w:r>
        <w:rPr>
          <w:rFonts w:hint="eastAsia" w:ascii="Times New Roman" w:hAnsi="Times New Roman" w:eastAsia="仿宋_GB2312" w:cs="Times New Roman"/>
          <w:color w:val="auto"/>
          <w:sz w:val="32"/>
          <w:szCs w:val="32"/>
        </w:rPr>
        <w:t>自治</w:t>
      </w:r>
      <w:r>
        <w:rPr>
          <w:rFonts w:hint="default"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个区片综合地价区域，</w:t>
      </w:r>
      <w:r>
        <w:rPr>
          <w:rFonts w:hint="eastAsia" w:ascii="Times New Roman" w:hAnsi="Times New Roman" w:eastAsia="仿宋_GB2312" w:cs="Times New Roman"/>
          <w:color w:val="auto"/>
          <w:sz w:val="32"/>
          <w:szCs w:val="32"/>
        </w:rPr>
        <w:t>具体情况如下表：</w:t>
      </w:r>
    </w:p>
    <w:p>
      <w:pPr>
        <w:widowControl/>
        <w:spacing w:line="240" w:lineRule="exact"/>
        <w:jc w:val="right"/>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单位：元/亩</w:t>
      </w:r>
    </w:p>
    <w:tbl>
      <w:tblPr>
        <w:tblStyle w:val="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64"/>
        <w:gridCol w:w="780"/>
        <w:gridCol w:w="992"/>
        <w:gridCol w:w="850"/>
        <w:gridCol w:w="851"/>
        <w:gridCol w:w="795"/>
        <w:gridCol w:w="906"/>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77"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区片编号</w:t>
            </w:r>
          </w:p>
        </w:tc>
        <w:tc>
          <w:tcPr>
            <w:tcW w:w="1464" w:type="dxa"/>
            <w:vMerge w:val="restart"/>
            <w:tcBorders>
              <w:tl2br w:val="single" w:color="auto" w:sz="4" w:space="0"/>
            </w:tcBorders>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 xml:space="preserve"> </w:t>
            </w:r>
            <w:r>
              <w:rPr>
                <w:rFonts w:ascii="仿宋_GB2312" w:hAnsi="宋体" w:eastAsia="仿宋_GB2312" w:cs="仿宋_GB2312"/>
                <w:color w:val="auto"/>
                <w:kern w:val="0"/>
                <w:sz w:val="22"/>
                <w:lang w:bidi="ar"/>
              </w:rPr>
              <w:t xml:space="preserve">  </w:t>
            </w:r>
          </w:p>
          <w:p>
            <w:pPr>
              <w:widowControl/>
              <w:spacing w:line="22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 xml:space="preserve">    </w:t>
            </w:r>
            <w:r>
              <w:rPr>
                <w:rFonts w:hint="eastAsia" w:ascii="仿宋_GB2312" w:hAnsi="宋体" w:eastAsia="仿宋_GB2312" w:cs="仿宋_GB2312"/>
                <w:color w:val="auto"/>
                <w:kern w:val="0"/>
                <w:sz w:val="22"/>
                <w:lang w:bidi="ar"/>
              </w:rPr>
              <w:t>地类</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区片</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综合</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地价</w:t>
            </w:r>
          </w:p>
        </w:tc>
        <w:tc>
          <w:tcPr>
            <w:tcW w:w="6024" w:type="dxa"/>
            <w:gridSpan w:val="7"/>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农用地</w:t>
            </w:r>
          </w:p>
        </w:tc>
        <w:tc>
          <w:tcPr>
            <w:tcW w:w="851"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集体建设用地</w:t>
            </w:r>
          </w:p>
        </w:tc>
        <w:tc>
          <w:tcPr>
            <w:tcW w:w="850"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未利</w:t>
            </w:r>
          </w:p>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77"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1464" w:type="dxa"/>
            <w:vMerge w:val="continue"/>
            <w:vAlign w:val="center"/>
          </w:tcPr>
          <w:p>
            <w:pPr>
              <w:spacing w:line="220" w:lineRule="exact"/>
              <w:jc w:val="center"/>
              <w:rPr>
                <w:rFonts w:eastAsia="仿宋_GB2312"/>
                <w:color w:val="auto"/>
                <w:sz w:val="28"/>
                <w:szCs w:val="28"/>
              </w:rPr>
            </w:pPr>
          </w:p>
        </w:tc>
        <w:tc>
          <w:tcPr>
            <w:tcW w:w="2622" w:type="dxa"/>
            <w:gridSpan w:val="3"/>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耕地</w:t>
            </w:r>
          </w:p>
        </w:tc>
        <w:tc>
          <w:tcPr>
            <w:tcW w:w="851"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园地</w:t>
            </w:r>
          </w:p>
        </w:tc>
        <w:tc>
          <w:tcPr>
            <w:tcW w:w="795"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林地</w:t>
            </w:r>
          </w:p>
        </w:tc>
        <w:tc>
          <w:tcPr>
            <w:tcW w:w="906"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草地</w:t>
            </w:r>
          </w:p>
        </w:tc>
        <w:tc>
          <w:tcPr>
            <w:tcW w:w="850"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其他农用地</w:t>
            </w: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77"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1464" w:type="dxa"/>
            <w:vMerge w:val="continue"/>
            <w:vAlign w:val="center"/>
          </w:tcPr>
          <w:p>
            <w:pPr>
              <w:spacing w:line="220" w:lineRule="exact"/>
              <w:jc w:val="center"/>
              <w:rPr>
                <w:rFonts w:eastAsia="仿宋_GB2312"/>
                <w:color w:val="auto"/>
                <w:sz w:val="28"/>
                <w:szCs w:val="28"/>
              </w:rPr>
            </w:pPr>
          </w:p>
        </w:tc>
        <w:tc>
          <w:tcPr>
            <w:tcW w:w="780"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水田</w:t>
            </w:r>
          </w:p>
        </w:tc>
        <w:tc>
          <w:tcPr>
            <w:tcW w:w="992"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水浇地</w:t>
            </w:r>
          </w:p>
        </w:tc>
        <w:tc>
          <w:tcPr>
            <w:tcW w:w="850"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旱地</w:t>
            </w: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795"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906"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7"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I</w:t>
            </w:r>
          </w:p>
        </w:tc>
        <w:tc>
          <w:tcPr>
            <w:tcW w:w="1464"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78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60750</w:t>
            </w:r>
          </w:p>
        </w:tc>
        <w:tc>
          <w:tcPr>
            <w:tcW w:w="992"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1"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795"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25110</w:t>
            </w:r>
          </w:p>
        </w:tc>
        <w:tc>
          <w:tcPr>
            <w:tcW w:w="906"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25110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1"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60750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12150</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其他地上附着物和青苗补偿标准按照2022年9月30日《临沧市人民政府办公室关于公布实施临沧市地上附着物和青苗补偿标准的通知》（临政办发〔2022〕82号）</w:t>
      </w:r>
      <w:r>
        <w:rPr>
          <w:rFonts w:hint="default" w:ascii="Times New Roman" w:hAnsi="Times New Roman" w:eastAsia="仿宋_GB2312" w:cs="Times New Roman"/>
          <w:color w:val="auto"/>
          <w:sz w:val="32"/>
          <w:szCs w:val="32"/>
        </w:rPr>
        <w:t>的规定执行。</w:t>
      </w:r>
      <w:r>
        <w:rPr>
          <w:rFonts w:hint="eastAsia" w:ascii="Times New Roman" w:hAnsi="Times New Roman" w:eastAsia="仿宋_GB2312" w:cs="Times New Roman"/>
          <w:color w:val="auto"/>
          <w:sz w:val="32"/>
          <w:szCs w:val="32"/>
        </w:rPr>
        <w:t>具体补偿标准如下：</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（一）建筑物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彩钢瓦结构：250元/平方米。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砖混结构：1430元/平方米。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石棉瓦结构：350元/平方米。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（二）构筑物及其他附属设施补偿标准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1.厕所：150元/平方米。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耿马自治县2024年度第五批次城镇建设用地拟征地范围内涉及孟定镇班幸社区居民委员会班幸村民小组5户26人，其中劳动力18人。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六、安置方式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耿马自治县2024年度第五批次城镇建设用地拟征收土地涉及孟定镇班幸社区居民委员会班幸村民小组，共涉及农户5户26人（劳动力18人），征地前人均耕地面积8.0417亩，征地后人均耕地面积8.0417亩，不涉及征地后人均耕地面积低于0.3亩农户，无完全失地农民。针对以上农户，我县通过采取发放安置补助费和社会保障安置方式，妥善安排被征地农民的生产和生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七、社会保障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劳动和社会保障部、国土资源部关于切实做好被征地农民社会保障工作有关问题的通知》（劳社部发〔2007〕14号）、《云南省人民政府关于印发云南省被征地农民基本养老保障试行办法的通知》（云政发〔2008〕226号）和《临沧市被征地农民基本养老保障实施班（试行）》（2009年临沧市人民政府第3号公告）等相关规定，耿马自治县2024年度第五批次城镇建设用地采取以下社会保障措施：</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按2023年11月18日《云南省自然资源厅关于公布实施2023年云南省征收农用地区片综合地价的通知》（云自然资〔2023〕169号）规定的征地补偿标准对集体土地进行补偿；</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按照耿马自治县一类区每亩增收3万的标准征收被征地农民基本养老保障专项资金，专项用于被征地农民基本养老保障；</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将符合条件的被征地农民纳入城乡居民养老保险或城镇职工养老保险参保。</w:t>
      </w:r>
    </w:p>
    <w:p>
      <w:pPr>
        <w:spacing w:line="600" w:lineRule="exact"/>
        <w:ind w:right="640" w:firstLine="640" w:firstLineChars="200"/>
        <w:jc w:val="right"/>
        <w:rPr>
          <w:rFonts w:ascii="Times New Roman" w:hAnsi="Times New Roman" w:eastAsia="仿宋" w:cs="Times New Roman"/>
          <w:color w:val="auto"/>
          <w:sz w:val="32"/>
          <w:szCs w:val="32"/>
        </w:rPr>
      </w:pPr>
    </w:p>
    <w:p>
      <w:pPr>
        <w:spacing w:line="600" w:lineRule="exact"/>
        <w:ind w:right="640" w:firstLine="640" w:firstLineChars="200"/>
        <w:jc w:val="right"/>
        <w:rPr>
          <w:rFonts w:ascii="Times New Roman" w:hAnsi="Times New Roman" w:eastAsia="仿宋" w:cs="Times New Roman"/>
          <w:color w:val="auto"/>
          <w:sz w:val="32"/>
          <w:szCs w:val="32"/>
        </w:rPr>
      </w:pPr>
    </w:p>
    <w:p>
      <w:pPr>
        <w:spacing w:line="600" w:lineRule="exact"/>
        <w:ind w:right="640" w:firstLine="640" w:firstLineChars="200"/>
        <w:jc w:val="righ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耿马傣族佤族自治县人民政府</w:t>
      </w:r>
    </w:p>
    <w:p>
      <w:pPr>
        <w:spacing w:line="600" w:lineRule="exact"/>
        <w:ind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bookmarkStart w:id="0" w:name="_GoBack"/>
      <w:bookmarkEnd w:id="0"/>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 xml:space="preserve">    2024年2月21日</w:t>
      </w:r>
    </w:p>
    <w:sectPr>
      <w:footerReference r:id="rId3" w:type="default"/>
      <w:pgSz w:w="11906" w:h="16838"/>
      <w:pgMar w:top="1984"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NDE0NDM1YmE0MmY5Y2NlYzYzZmM4NGJiZWY5M2EifQ=="/>
  </w:docVars>
  <w:rsids>
    <w:rsidRoot w:val="0078153A"/>
    <w:rsid w:val="00003080"/>
    <w:rsid w:val="00003EA6"/>
    <w:rsid w:val="00033599"/>
    <w:rsid w:val="000372F0"/>
    <w:rsid w:val="0004095B"/>
    <w:rsid w:val="00042202"/>
    <w:rsid w:val="000476BC"/>
    <w:rsid w:val="000620C1"/>
    <w:rsid w:val="00085AE0"/>
    <w:rsid w:val="000A118F"/>
    <w:rsid w:val="000A4E6B"/>
    <w:rsid w:val="000B25BB"/>
    <w:rsid w:val="000B5118"/>
    <w:rsid w:val="000C61C4"/>
    <w:rsid w:val="000D688D"/>
    <w:rsid w:val="000E2DD7"/>
    <w:rsid w:val="00102433"/>
    <w:rsid w:val="001159AB"/>
    <w:rsid w:val="00124731"/>
    <w:rsid w:val="00166BAA"/>
    <w:rsid w:val="001722DB"/>
    <w:rsid w:val="0017234D"/>
    <w:rsid w:val="001956D1"/>
    <w:rsid w:val="001A0C0F"/>
    <w:rsid w:val="001C0A1E"/>
    <w:rsid w:val="001C581E"/>
    <w:rsid w:val="001E4B18"/>
    <w:rsid w:val="001F5BB4"/>
    <w:rsid w:val="00214075"/>
    <w:rsid w:val="00216C4C"/>
    <w:rsid w:val="00242A9B"/>
    <w:rsid w:val="00247438"/>
    <w:rsid w:val="002474DB"/>
    <w:rsid w:val="002478BE"/>
    <w:rsid w:val="00250B78"/>
    <w:rsid w:val="002609DA"/>
    <w:rsid w:val="00271CAE"/>
    <w:rsid w:val="002742EB"/>
    <w:rsid w:val="00286727"/>
    <w:rsid w:val="00287A60"/>
    <w:rsid w:val="002944E5"/>
    <w:rsid w:val="002A299D"/>
    <w:rsid w:val="002B175D"/>
    <w:rsid w:val="002D32D7"/>
    <w:rsid w:val="002D47A8"/>
    <w:rsid w:val="002E60C3"/>
    <w:rsid w:val="003034C1"/>
    <w:rsid w:val="003246C6"/>
    <w:rsid w:val="0032730F"/>
    <w:rsid w:val="00346A99"/>
    <w:rsid w:val="00351AE3"/>
    <w:rsid w:val="00363893"/>
    <w:rsid w:val="00367E96"/>
    <w:rsid w:val="003A07A2"/>
    <w:rsid w:val="003A57A9"/>
    <w:rsid w:val="003A76F6"/>
    <w:rsid w:val="003D041F"/>
    <w:rsid w:val="003E7962"/>
    <w:rsid w:val="00405851"/>
    <w:rsid w:val="00406E51"/>
    <w:rsid w:val="0042770A"/>
    <w:rsid w:val="004407B5"/>
    <w:rsid w:val="00450E3B"/>
    <w:rsid w:val="0048412C"/>
    <w:rsid w:val="004A66D6"/>
    <w:rsid w:val="004B2F42"/>
    <w:rsid w:val="004C67BE"/>
    <w:rsid w:val="004D1E7A"/>
    <w:rsid w:val="004F3034"/>
    <w:rsid w:val="004F5D4E"/>
    <w:rsid w:val="0050611C"/>
    <w:rsid w:val="005071CF"/>
    <w:rsid w:val="005107AF"/>
    <w:rsid w:val="00534B0D"/>
    <w:rsid w:val="00540C4E"/>
    <w:rsid w:val="0054566F"/>
    <w:rsid w:val="00564EA2"/>
    <w:rsid w:val="00575D67"/>
    <w:rsid w:val="00592AF1"/>
    <w:rsid w:val="005968A0"/>
    <w:rsid w:val="005B7532"/>
    <w:rsid w:val="005C2626"/>
    <w:rsid w:val="005E178D"/>
    <w:rsid w:val="005E7956"/>
    <w:rsid w:val="005E7EE7"/>
    <w:rsid w:val="005F3EA1"/>
    <w:rsid w:val="00614A86"/>
    <w:rsid w:val="00625678"/>
    <w:rsid w:val="00640B1C"/>
    <w:rsid w:val="00642F62"/>
    <w:rsid w:val="00644047"/>
    <w:rsid w:val="00656762"/>
    <w:rsid w:val="00661034"/>
    <w:rsid w:val="006659C8"/>
    <w:rsid w:val="00670579"/>
    <w:rsid w:val="00672F35"/>
    <w:rsid w:val="00674F44"/>
    <w:rsid w:val="006A4519"/>
    <w:rsid w:val="006F2EA5"/>
    <w:rsid w:val="00722BED"/>
    <w:rsid w:val="00730799"/>
    <w:rsid w:val="00736432"/>
    <w:rsid w:val="00737F5F"/>
    <w:rsid w:val="00743DFB"/>
    <w:rsid w:val="00765432"/>
    <w:rsid w:val="0078153A"/>
    <w:rsid w:val="00784B35"/>
    <w:rsid w:val="007A16A1"/>
    <w:rsid w:val="007A1D0F"/>
    <w:rsid w:val="007C03D4"/>
    <w:rsid w:val="007C08A0"/>
    <w:rsid w:val="007F1A2F"/>
    <w:rsid w:val="00802D2C"/>
    <w:rsid w:val="00806E34"/>
    <w:rsid w:val="00807CAA"/>
    <w:rsid w:val="00811154"/>
    <w:rsid w:val="008725D3"/>
    <w:rsid w:val="00897398"/>
    <w:rsid w:val="008A40DA"/>
    <w:rsid w:val="008B072C"/>
    <w:rsid w:val="008B0EAB"/>
    <w:rsid w:val="008B7A66"/>
    <w:rsid w:val="008C16CB"/>
    <w:rsid w:val="008C4F87"/>
    <w:rsid w:val="008D45ED"/>
    <w:rsid w:val="008D65C5"/>
    <w:rsid w:val="008E31E3"/>
    <w:rsid w:val="008F0802"/>
    <w:rsid w:val="008F79A9"/>
    <w:rsid w:val="00912A60"/>
    <w:rsid w:val="00914EE3"/>
    <w:rsid w:val="00966B69"/>
    <w:rsid w:val="00966B7C"/>
    <w:rsid w:val="00976E46"/>
    <w:rsid w:val="009A421B"/>
    <w:rsid w:val="009A6B3D"/>
    <w:rsid w:val="009C05D0"/>
    <w:rsid w:val="009C0F85"/>
    <w:rsid w:val="009C2CB5"/>
    <w:rsid w:val="009D1909"/>
    <w:rsid w:val="009D2E35"/>
    <w:rsid w:val="009D70E7"/>
    <w:rsid w:val="009F4637"/>
    <w:rsid w:val="009F6BB0"/>
    <w:rsid w:val="00A04A80"/>
    <w:rsid w:val="00A14800"/>
    <w:rsid w:val="00A24D4D"/>
    <w:rsid w:val="00A35C67"/>
    <w:rsid w:val="00A37FF9"/>
    <w:rsid w:val="00A51794"/>
    <w:rsid w:val="00A51B9E"/>
    <w:rsid w:val="00A65001"/>
    <w:rsid w:val="00A71006"/>
    <w:rsid w:val="00A810EA"/>
    <w:rsid w:val="00A84943"/>
    <w:rsid w:val="00A96A96"/>
    <w:rsid w:val="00AB0AF7"/>
    <w:rsid w:val="00AB1087"/>
    <w:rsid w:val="00AB71B7"/>
    <w:rsid w:val="00AB79B8"/>
    <w:rsid w:val="00AC1080"/>
    <w:rsid w:val="00AD31CC"/>
    <w:rsid w:val="00AE6826"/>
    <w:rsid w:val="00B012C7"/>
    <w:rsid w:val="00B01AF8"/>
    <w:rsid w:val="00B022E7"/>
    <w:rsid w:val="00B07419"/>
    <w:rsid w:val="00B07830"/>
    <w:rsid w:val="00B07AD8"/>
    <w:rsid w:val="00B34B5D"/>
    <w:rsid w:val="00B46286"/>
    <w:rsid w:val="00B512CB"/>
    <w:rsid w:val="00B66F88"/>
    <w:rsid w:val="00B76B47"/>
    <w:rsid w:val="00B972D6"/>
    <w:rsid w:val="00BA75EB"/>
    <w:rsid w:val="00BC06A7"/>
    <w:rsid w:val="00BD01D6"/>
    <w:rsid w:val="00BD32FC"/>
    <w:rsid w:val="00BD4A40"/>
    <w:rsid w:val="00BD5886"/>
    <w:rsid w:val="00BE1981"/>
    <w:rsid w:val="00BE53ED"/>
    <w:rsid w:val="00BF1F63"/>
    <w:rsid w:val="00C00317"/>
    <w:rsid w:val="00C04B05"/>
    <w:rsid w:val="00C13379"/>
    <w:rsid w:val="00C13AD2"/>
    <w:rsid w:val="00C20BFA"/>
    <w:rsid w:val="00C21815"/>
    <w:rsid w:val="00C50DB4"/>
    <w:rsid w:val="00C867F2"/>
    <w:rsid w:val="00C932E7"/>
    <w:rsid w:val="00C94ED7"/>
    <w:rsid w:val="00C967AB"/>
    <w:rsid w:val="00CB172E"/>
    <w:rsid w:val="00CD17C5"/>
    <w:rsid w:val="00CF0566"/>
    <w:rsid w:val="00D07671"/>
    <w:rsid w:val="00D113DF"/>
    <w:rsid w:val="00D32627"/>
    <w:rsid w:val="00D36697"/>
    <w:rsid w:val="00D56EF4"/>
    <w:rsid w:val="00D7092B"/>
    <w:rsid w:val="00D767A5"/>
    <w:rsid w:val="00DA27EB"/>
    <w:rsid w:val="00DA3EE6"/>
    <w:rsid w:val="00DA78CE"/>
    <w:rsid w:val="00DB592D"/>
    <w:rsid w:val="00DB62E4"/>
    <w:rsid w:val="00DB717F"/>
    <w:rsid w:val="00DC06F5"/>
    <w:rsid w:val="00DD3A0C"/>
    <w:rsid w:val="00DE4E00"/>
    <w:rsid w:val="00E13461"/>
    <w:rsid w:val="00E134BE"/>
    <w:rsid w:val="00E2311B"/>
    <w:rsid w:val="00E32853"/>
    <w:rsid w:val="00E37903"/>
    <w:rsid w:val="00E56B7C"/>
    <w:rsid w:val="00E5767D"/>
    <w:rsid w:val="00E82EFC"/>
    <w:rsid w:val="00E908BF"/>
    <w:rsid w:val="00EA0F81"/>
    <w:rsid w:val="00ED7CB3"/>
    <w:rsid w:val="00EE3A1C"/>
    <w:rsid w:val="00F07E54"/>
    <w:rsid w:val="00F12A6C"/>
    <w:rsid w:val="00F23F0F"/>
    <w:rsid w:val="00F43F74"/>
    <w:rsid w:val="00F5049B"/>
    <w:rsid w:val="00F60707"/>
    <w:rsid w:val="00F72BE1"/>
    <w:rsid w:val="00F75ACF"/>
    <w:rsid w:val="00F771E3"/>
    <w:rsid w:val="00F90F9C"/>
    <w:rsid w:val="00F93466"/>
    <w:rsid w:val="00FB3E4C"/>
    <w:rsid w:val="00FB77CF"/>
    <w:rsid w:val="00FD22B3"/>
    <w:rsid w:val="00FF50AA"/>
    <w:rsid w:val="02DC269E"/>
    <w:rsid w:val="08583369"/>
    <w:rsid w:val="08FA5184"/>
    <w:rsid w:val="0A3208AE"/>
    <w:rsid w:val="0C285C6C"/>
    <w:rsid w:val="10524C52"/>
    <w:rsid w:val="111B3A42"/>
    <w:rsid w:val="11CC748C"/>
    <w:rsid w:val="130C48FD"/>
    <w:rsid w:val="151267AE"/>
    <w:rsid w:val="17CB164E"/>
    <w:rsid w:val="17FA5E59"/>
    <w:rsid w:val="19847DE1"/>
    <w:rsid w:val="19A54BF8"/>
    <w:rsid w:val="1A0D279E"/>
    <w:rsid w:val="1B62634B"/>
    <w:rsid w:val="1BA027E4"/>
    <w:rsid w:val="1C2E55F2"/>
    <w:rsid w:val="1CA95F16"/>
    <w:rsid w:val="1CD55BEB"/>
    <w:rsid w:val="1D937A43"/>
    <w:rsid w:val="1F1E5314"/>
    <w:rsid w:val="20752433"/>
    <w:rsid w:val="20C4453B"/>
    <w:rsid w:val="22FB1C84"/>
    <w:rsid w:val="23723C25"/>
    <w:rsid w:val="246907E1"/>
    <w:rsid w:val="2753231C"/>
    <w:rsid w:val="27AC3E59"/>
    <w:rsid w:val="28707A6F"/>
    <w:rsid w:val="29230141"/>
    <w:rsid w:val="29CE0ABC"/>
    <w:rsid w:val="2D6A0964"/>
    <w:rsid w:val="2E1E1E61"/>
    <w:rsid w:val="2F0F103A"/>
    <w:rsid w:val="30221577"/>
    <w:rsid w:val="3054441E"/>
    <w:rsid w:val="30C85DA1"/>
    <w:rsid w:val="31026C80"/>
    <w:rsid w:val="31B529E8"/>
    <w:rsid w:val="32CF06BB"/>
    <w:rsid w:val="34097B94"/>
    <w:rsid w:val="35C65378"/>
    <w:rsid w:val="360769AF"/>
    <w:rsid w:val="39B63E9B"/>
    <w:rsid w:val="39CE1B14"/>
    <w:rsid w:val="3A665D48"/>
    <w:rsid w:val="3B2E58ED"/>
    <w:rsid w:val="3C34071C"/>
    <w:rsid w:val="3CD847AC"/>
    <w:rsid w:val="3D380954"/>
    <w:rsid w:val="3DE36FEC"/>
    <w:rsid w:val="3E2F6B99"/>
    <w:rsid w:val="3EF87E33"/>
    <w:rsid w:val="3F7805F0"/>
    <w:rsid w:val="3FCD4DEB"/>
    <w:rsid w:val="40C260EC"/>
    <w:rsid w:val="40C6191F"/>
    <w:rsid w:val="420D58FC"/>
    <w:rsid w:val="431D2EA3"/>
    <w:rsid w:val="43C809EB"/>
    <w:rsid w:val="44E74FD9"/>
    <w:rsid w:val="461566C0"/>
    <w:rsid w:val="4630091A"/>
    <w:rsid w:val="46D60AB1"/>
    <w:rsid w:val="4B5636F8"/>
    <w:rsid w:val="4C1956B5"/>
    <w:rsid w:val="4C253CAD"/>
    <w:rsid w:val="50B12A27"/>
    <w:rsid w:val="50EF730D"/>
    <w:rsid w:val="583A4E9F"/>
    <w:rsid w:val="588418A2"/>
    <w:rsid w:val="59C351D0"/>
    <w:rsid w:val="5AC31FAD"/>
    <w:rsid w:val="5CD61E4E"/>
    <w:rsid w:val="5DE51034"/>
    <w:rsid w:val="5E1847C8"/>
    <w:rsid w:val="5E6463FD"/>
    <w:rsid w:val="602C48EF"/>
    <w:rsid w:val="624C1DD7"/>
    <w:rsid w:val="638F4D8A"/>
    <w:rsid w:val="64C77B52"/>
    <w:rsid w:val="65C40DE9"/>
    <w:rsid w:val="662B2FED"/>
    <w:rsid w:val="66C32A66"/>
    <w:rsid w:val="66E27C95"/>
    <w:rsid w:val="679C56C6"/>
    <w:rsid w:val="6B3B167F"/>
    <w:rsid w:val="6D2A69AC"/>
    <w:rsid w:val="6D7A5576"/>
    <w:rsid w:val="6DCF48A6"/>
    <w:rsid w:val="6E8B3663"/>
    <w:rsid w:val="6ECD1506"/>
    <w:rsid w:val="6EE23F5C"/>
    <w:rsid w:val="6F326EF5"/>
    <w:rsid w:val="6FCA28C4"/>
    <w:rsid w:val="712C79BF"/>
    <w:rsid w:val="72421E7E"/>
    <w:rsid w:val="72A46C50"/>
    <w:rsid w:val="74071C14"/>
    <w:rsid w:val="740A4EF9"/>
    <w:rsid w:val="7479322E"/>
    <w:rsid w:val="762925E9"/>
    <w:rsid w:val="77807966"/>
    <w:rsid w:val="790F39F3"/>
    <w:rsid w:val="792C3545"/>
    <w:rsid w:val="79E70D0C"/>
    <w:rsid w:val="7B1D60A0"/>
    <w:rsid w:val="7BBE7A29"/>
    <w:rsid w:val="7C6F7CE7"/>
    <w:rsid w:val="7D4078A9"/>
    <w:rsid w:val="7E000A17"/>
    <w:rsid w:val="7E7D503B"/>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99"/>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paragraph" w:customStyle="1" w:styleId="11">
    <w:name w:val="列表段落1"/>
    <w:basedOn w:val="1"/>
    <w:autoRedefine/>
    <w:unhideWhenUsed/>
    <w:qFormat/>
    <w:uiPriority w:val="99"/>
    <w:pPr>
      <w:ind w:firstLine="420" w:firstLineChars="200"/>
    </w:pPr>
    <w:rPr>
      <w:szCs w:val="24"/>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框文本 字符"/>
    <w:basedOn w:val="9"/>
    <w:link w:val="3"/>
    <w:autoRedefine/>
    <w:semiHidden/>
    <w:qFormat/>
    <w:uiPriority w:val="99"/>
    <w:rPr>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16">
    <w:name w:val="List Paragraph"/>
    <w:basedOn w:val="1"/>
    <w:autoRedefine/>
    <w:unhideWhenUsed/>
    <w:qFormat/>
    <w:uiPriority w:val="99"/>
    <w:pPr>
      <w:ind w:firstLine="420" w:firstLineChars="200"/>
    </w:pPr>
  </w:style>
  <w:style w:type="character" w:customStyle="1" w:styleId="17">
    <w:name w:val="批注文字 字符"/>
    <w:basedOn w:val="9"/>
    <w:link w:val="2"/>
    <w:semiHidden/>
    <w:uiPriority w:val="99"/>
    <w:rPr>
      <w:rFonts w:asciiTheme="minorHAnsi" w:hAnsiTheme="minorHAnsi" w:eastAsiaTheme="minorEastAsia" w:cstheme="minorBidi"/>
      <w:kern w:val="2"/>
      <w:sz w:val="21"/>
      <w:szCs w:val="22"/>
    </w:rPr>
  </w:style>
  <w:style w:type="character" w:customStyle="1" w:styleId="18">
    <w:name w:val="批注主题 字符"/>
    <w:basedOn w:val="17"/>
    <w:link w:val="6"/>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4</Pages>
  <Words>315</Words>
  <Characters>1796</Characters>
  <Lines>14</Lines>
  <Paragraphs>4</Paragraphs>
  <TotalTime>0</TotalTime>
  <ScaleCrop>false</ScaleCrop>
  <LinksUpToDate>false</LinksUpToDate>
  <CharactersWithSpaces>2107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2024-02-20T12:19:00Z</dcterms:created>
  <dc:creator>王立志</dc:creator>
  <cp:lastModifiedBy>请叫我里维</cp:lastModifiedBy>
  <cp:lastPrinted>2020-11-24T00:57:00Z</cp:lastPrinted>
  <dcterms:modified xsi:type="dcterms:W3CDTF">2024-02-21T07:30:03Z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BA37210404104B05BB3F2C0F43EF3F0C</vt:lpwstr>
  </property>
  <property fmtid="{D5CDD505-2E9C-101B-9397-08002B2CF9AE}" pid="4" name="KSOSaveFontToCloudKey">
    <vt:lpwstr>500278962_cloud</vt:lpwstr>
  </property>
</Properties>
</file>